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F0" w:rsidRPr="00C0014E" w:rsidRDefault="006F6BF0" w:rsidP="006F6BF0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64E4C8AC" wp14:editId="37F35D01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F0" w:rsidRPr="006153A1" w:rsidRDefault="006F6BF0" w:rsidP="006F6BF0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6F6BF0" w:rsidRPr="002A7834" w:rsidRDefault="006F6BF0" w:rsidP="006F6BF0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6F6BF0" w:rsidRPr="00C0014E" w:rsidRDefault="006F6BF0" w:rsidP="006F6BF0">
      <w:pPr>
        <w:pBdr>
          <w:bottom w:val="single" w:sz="4" w:space="1" w:color="auto"/>
        </w:pBdr>
        <w:rPr>
          <w:b/>
        </w:rPr>
      </w:pPr>
    </w:p>
    <w:p w:rsidR="006F6BF0" w:rsidRPr="008F2616" w:rsidRDefault="006F6BF0" w:rsidP="006F6BF0"/>
    <w:p w:rsidR="006F6BF0" w:rsidRPr="00F85758" w:rsidRDefault="006F6BF0" w:rsidP="006F6BF0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6F6BF0" w:rsidRPr="008F2616" w:rsidRDefault="006F6BF0" w:rsidP="006F6BF0"/>
    <w:p w:rsidR="006F6BF0" w:rsidRPr="007B2098" w:rsidRDefault="006F6BF0" w:rsidP="006F6BF0">
      <w:r w:rsidRPr="007B2098">
        <w:t xml:space="preserve">Dated </w:t>
      </w:r>
      <w:r>
        <w:t>25</w:t>
      </w:r>
      <w:r w:rsidRPr="007B2098">
        <w:t xml:space="preserve"> March 2015</w:t>
      </w:r>
    </w:p>
    <w:p w:rsidR="006F6BF0" w:rsidRPr="008F2616" w:rsidRDefault="006F6BF0" w:rsidP="006F6BF0">
      <w:r>
        <w:rPr>
          <w:noProof/>
          <w:lang w:eastAsia="en-GB"/>
        </w:rPr>
        <w:drawing>
          <wp:inline distT="0" distB="0" distL="0" distR="0" wp14:anchorId="53668F48" wp14:editId="20939E44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F0" w:rsidRPr="008F2616" w:rsidRDefault="006F6BF0" w:rsidP="006F6BF0">
      <w:r w:rsidRPr="008F2616">
        <w:t>Standards Management Officer</w:t>
      </w:r>
    </w:p>
    <w:p w:rsidR="006F6BF0" w:rsidRPr="008F2616" w:rsidRDefault="006F6BF0" w:rsidP="006F6BF0">
      <w:r w:rsidRPr="008F2616">
        <w:t>Delegate of the Board of Food Standards Australia New Zealand</w:t>
      </w:r>
    </w:p>
    <w:p w:rsidR="006F6BF0" w:rsidRDefault="006F6BF0" w:rsidP="006F6BF0"/>
    <w:p w:rsidR="006F6BF0" w:rsidRDefault="006F6BF0" w:rsidP="006F6BF0"/>
    <w:p w:rsidR="006F6BF0" w:rsidRDefault="006F6BF0" w:rsidP="006F6BF0"/>
    <w:p w:rsidR="006F6BF0" w:rsidRDefault="006F6BF0" w:rsidP="006F6BF0"/>
    <w:p w:rsidR="006F6BF0" w:rsidRDefault="006F6BF0" w:rsidP="006F6BF0"/>
    <w:p w:rsidR="006F6BF0" w:rsidRPr="00574DE1" w:rsidRDefault="006F6BF0" w:rsidP="006F6BF0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6F6BF0" w:rsidRPr="00574DE1" w:rsidRDefault="006F6BF0" w:rsidP="006F6BF0">
      <w:pPr>
        <w:pStyle w:val="EditorialNotetext"/>
        <w:rPr>
          <w:lang w:val="en-AU"/>
        </w:rPr>
      </w:pPr>
    </w:p>
    <w:p w:rsidR="006F6BF0" w:rsidRPr="007B2098" w:rsidRDefault="006F6BF0" w:rsidP="006F6BF0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6F6BF0" w:rsidRDefault="006F6BF0" w:rsidP="006F6BF0"/>
    <w:p w:rsidR="006F6BF0" w:rsidRDefault="006F6BF0" w:rsidP="006F6BF0">
      <w:pPr>
        <w:sectPr w:rsidR="006F6BF0" w:rsidSect="006F6BF0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282135" w:rsidRPr="001D1563" w:rsidRDefault="00282135" w:rsidP="00282135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="00062C92">
        <w:rPr>
          <w:lang w:val="en-GB"/>
        </w:rPr>
        <w:t xml:space="preserve"> 1.6.1</w:t>
      </w:r>
      <w:r w:rsidRPr="001D1563">
        <w:rPr>
          <w:lang w:val="en-GB"/>
        </w:rPr>
        <w:tab/>
        <w:t>Microbiological limits in food</w:t>
      </w:r>
    </w:p>
    <w:p w:rsidR="00282135" w:rsidRPr="001D1563" w:rsidRDefault="00282135" w:rsidP="00282135">
      <w:pPr>
        <w:pStyle w:val="FSCnatHeading"/>
        <w:rPr>
          <w:lang w:val="en-GB"/>
        </w:rPr>
      </w:pPr>
      <w:r w:rsidRPr="0028213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A616DC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282135" w:rsidRPr="001D1563" w:rsidRDefault="00282135" w:rsidP="00282135">
      <w:pPr>
        <w:pStyle w:val="FSCnatHeading"/>
        <w:rPr>
          <w:lang w:val="en-GB"/>
        </w:rPr>
      </w:pPr>
      <w:r w:rsidRPr="0028213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282135" w:rsidRPr="001D1563" w:rsidRDefault="00282135" w:rsidP="00282135">
      <w:pPr>
        <w:pStyle w:val="FSCnatHeading"/>
        <w:rPr>
          <w:lang w:val="en-GB"/>
        </w:rPr>
      </w:pPr>
      <w:r w:rsidRPr="0028213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Section 1.1.1—11 provides that a food for sale must not have an unacceptable level of microorganisms, as determined in accordance with this standard. This standard sets out how to determine whether a lot of food has an unacceptable level of microorganisms.</w:t>
      </w:r>
    </w:p>
    <w:p w:rsidR="00282135" w:rsidRPr="001D1563" w:rsidRDefault="00282135" w:rsidP="00282135">
      <w:pPr>
        <w:pStyle w:val="FSCh5Section"/>
        <w:rPr>
          <w:lang w:val="en-GB"/>
        </w:rPr>
      </w:pPr>
      <w:bookmarkStart w:id="1" w:name="_Toc400032095"/>
      <w:bookmarkStart w:id="2" w:name="_Ref332629727"/>
      <w:bookmarkStart w:id="3" w:name="_Ref329782334"/>
      <w:r w:rsidRPr="001D1563">
        <w:rPr>
          <w:lang w:val="en-GB"/>
        </w:rPr>
        <w:t>1.6.1—1</w:t>
      </w:r>
      <w:r w:rsidRPr="001D1563">
        <w:rPr>
          <w:lang w:val="en-GB"/>
        </w:rPr>
        <w:tab/>
        <w:t>Name</w:t>
      </w:r>
      <w:bookmarkEnd w:id="1"/>
    </w:p>
    <w:p w:rsidR="00282135" w:rsidRPr="00062C92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062C92" w:rsidRPr="00062C92">
        <w:rPr>
          <w:lang w:val="en-GB"/>
        </w:rPr>
        <w:t>–</w:t>
      </w:r>
      <w:r w:rsidRPr="00062C92">
        <w:rPr>
          <w:lang w:val="en-GB"/>
        </w:rPr>
        <w:t xml:space="preserve"> Standard 1.6.1 </w:t>
      </w:r>
      <w:r w:rsidR="00062C92" w:rsidRPr="00062C92">
        <w:rPr>
          <w:lang w:val="en-GB"/>
        </w:rPr>
        <w:t>–</w:t>
      </w:r>
      <w:r w:rsidRPr="00062C92">
        <w:rPr>
          <w:lang w:val="en-GB"/>
        </w:rPr>
        <w:t xml:space="preserve"> Microbiological limits for food.</w:t>
      </w:r>
    </w:p>
    <w:p w:rsidR="00282135" w:rsidRPr="001D1563" w:rsidRDefault="00282135" w:rsidP="00282135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282135" w:rsidRPr="001D1563" w:rsidRDefault="00282135" w:rsidP="00282135">
      <w:pPr>
        <w:pStyle w:val="FSCh5Section"/>
        <w:rPr>
          <w:lang w:val="en-GB"/>
        </w:rPr>
      </w:pPr>
      <w:bookmarkStart w:id="4" w:name="_Ref329787908"/>
      <w:bookmarkStart w:id="5" w:name="_Toc371505506"/>
      <w:bookmarkStart w:id="6" w:name="_Toc400032096"/>
      <w:bookmarkEnd w:id="2"/>
      <w:r w:rsidRPr="001D1563">
        <w:rPr>
          <w:lang w:val="en-GB"/>
        </w:rPr>
        <w:t>1.6.1—2</w:t>
      </w:r>
      <w:r w:rsidRPr="001D1563">
        <w:rPr>
          <w:lang w:val="en-GB"/>
        </w:rPr>
        <w:tab/>
        <w:t>Unacceptable microbiological levels</w:t>
      </w:r>
      <w:bookmarkEnd w:id="3"/>
      <w:bookmarkEnd w:id="4"/>
      <w:bookmarkEnd w:id="5"/>
      <w:bookmarkEnd w:id="6"/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*lot of a food has an unacceptable level of microorganisms if: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is listed in the table to section S27—3; and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lot is tested in accordance with section 1.6.1—3; and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test indicates that:</w:t>
      </w:r>
    </w:p>
    <w:p w:rsidR="00282135" w:rsidRPr="001D1563" w:rsidRDefault="00282135" w:rsidP="00282135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the number of sample units having a level of a microorganism greater than that listed in the corresponding row of Column 4 (</w:t>
      </w:r>
      <w:r w:rsidRPr="001D1563">
        <w:rPr>
          <w:b/>
          <w:i/>
          <w:lang w:val="en-GB"/>
        </w:rPr>
        <w:t>m</w:t>
      </w:r>
      <w:r w:rsidRPr="001D1563">
        <w:rPr>
          <w:lang w:val="en-GB"/>
        </w:rPr>
        <w:t>) is greater than the number listed in the corresponding row of Column 3 (</w:t>
      </w:r>
      <w:r w:rsidRPr="001D1563">
        <w:rPr>
          <w:b/>
          <w:i/>
          <w:lang w:val="en-GB"/>
        </w:rPr>
        <w:t>c</w:t>
      </w:r>
      <w:r w:rsidRPr="001D1563">
        <w:rPr>
          <w:lang w:val="en-GB"/>
        </w:rPr>
        <w:t>); or</w:t>
      </w:r>
    </w:p>
    <w:p w:rsidR="00282135" w:rsidRPr="001D1563" w:rsidRDefault="00282135" w:rsidP="00062C92">
      <w:pPr>
        <w:pStyle w:val="FSCtSubpara"/>
        <w:ind w:right="-286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level of the microorganism in any of the sample units is greater than the number (if any) listed in the corresponding row of Column 5 (</w:t>
      </w:r>
      <w:r w:rsidRPr="001D1563">
        <w:rPr>
          <w:b/>
          <w:bCs/>
          <w:i/>
          <w:iCs w:val="0"/>
          <w:lang w:val="en-GB"/>
        </w:rPr>
        <w:t>M</w:t>
      </w:r>
      <w:r w:rsidRPr="001D1563">
        <w:rPr>
          <w:lang w:val="en-GB"/>
        </w:rPr>
        <w:t>).</w:t>
      </w:r>
    </w:p>
    <w:p w:rsidR="00282135" w:rsidRPr="001D1563" w:rsidRDefault="00282135" w:rsidP="00282135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 xml:space="preserve">For the meaning of </w:t>
      </w:r>
      <w:r w:rsidRPr="001D1563">
        <w:rPr>
          <w:b/>
          <w:i/>
          <w:lang w:val="en-GB"/>
        </w:rPr>
        <w:t>lot</w:t>
      </w:r>
      <w:r w:rsidRPr="001D1563">
        <w:rPr>
          <w:lang w:val="en-GB"/>
        </w:rPr>
        <w:t>, see section 1.1.2—2.</w:t>
      </w:r>
    </w:p>
    <w:p w:rsidR="00282135" w:rsidRPr="001D1563" w:rsidRDefault="00282135" w:rsidP="00282135">
      <w:pPr>
        <w:pStyle w:val="FSCh5Section"/>
        <w:rPr>
          <w:lang w:val="en-GB"/>
        </w:rPr>
      </w:pPr>
      <w:bookmarkStart w:id="7" w:name="_Toc371505507"/>
      <w:bookmarkStart w:id="8" w:name="_Toc400032097"/>
      <w:r w:rsidRPr="001D1563">
        <w:rPr>
          <w:lang w:val="en-GB"/>
        </w:rPr>
        <w:t>1.6.1—3</w:t>
      </w:r>
      <w:r w:rsidRPr="001D1563">
        <w:rPr>
          <w:lang w:val="en-GB"/>
        </w:rPr>
        <w:tab/>
        <w:t>Assessment of microbiological level</w:t>
      </w:r>
      <w:bookmarkEnd w:id="7"/>
      <w:r w:rsidRPr="001D1563">
        <w:rPr>
          <w:lang w:val="en-GB"/>
        </w:rPr>
        <w:t>s</w:t>
      </w:r>
      <w:bookmarkEnd w:id="8"/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Microbiological levels in food must be assessed in accordance with this section.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a particular *lot of a food listed in Column 1 of the table section S27—3, the number of sample units taken must be the number of sample units set out in the corresponding row of Column 2 (</w:t>
      </w:r>
      <w:r w:rsidRPr="001D1563">
        <w:rPr>
          <w:b/>
          <w:i/>
          <w:lang w:val="en-GB"/>
        </w:rPr>
        <w:t>n</w:t>
      </w:r>
      <w:r w:rsidRPr="001D1563">
        <w:rPr>
          <w:lang w:val="en-GB"/>
        </w:rPr>
        <w:t>).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Despite subsection (2), if the food is the subject of a consumer complaint or a suspected food poisoning incident, an *authorised officer may take or otherwise obtain fewer sample units than the number referred to in that subsection or take smaller samples.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An *authorised officer who takes or otherwise obtains a sample of food for the purpose of submitting it for microbiological analysis: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must</w:t>
      </w:r>
      <w:proofErr w:type="gramEnd"/>
      <w:r w:rsidRPr="001D1563">
        <w:rPr>
          <w:lang w:val="en-GB"/>
        </w:rPr>
        <w:t xml:space="preserve"> not divide that sample into separate parts; and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where</w:t>
      </w:r>
      <w:proofErr w:type="gramEnd"/>
      <w:r w:rsidRPr="001D1563">
        <w:rPr>
          <w:lang w:val="en-GB"/>
        </w:rPr>
        <w:t xml:space="preserve"> the sample consists of one or more sealed packages of a kind ordinarily sold by retail—must submit for such analysis that sample in that package or those packages in an unopened and intact condition.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(5)</w:t>
      </w:r>
      <w:r w:rsidRPr="001D1563">
        <w:rPr>
          <w:lang w:val="en-GB"/>
        </w:rPr>
        <w:tab/>
        <w:t>The following reference methods must be used to determine whether a food has exceeded the maximum permissible levels of microorganisms specified in the Schedule in relation to that food</w:t>
      </w:r>
      <w:r w:rsidR="00062C92">
        <w:rPr>
          <w:lang w:val="en-GB"/>
        </w:rPr>
        <w:t>:</w:t>
      </w:r>
      <w:r w:rsidRPr="001D1563">
        <w:rPr>
          <w:lang w:val="en-GB"/>
        </w:rPr>
        <w:t xml:space="preserve"> </w:t>
      </w:r>
    </w:p>
    <w:p w:rsidR="00282135" w:rsidRPr="001D1563" w:rsidRDefault="00282135" w:rsidP="00282135">
      <w:pPr>
        <w:pStyle w:val="FSCtPara"/>
        <w:rPr>
          <w:sz w:val="16"/>
          <w:szCs w:val="16"/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a food other than packaged water, packaged ice or mineral water </w:t>
      </w:r>
    </w:p>
    <w:p w:rsidR="00282135" w:rsidRPr="001D1563" w:rsidRDefault="00282135" w:rsidP="00282135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relevant method prescribed by Australian Standard AS5013; or </w:t>
      </w:r>
    </w:p>
    <w:p w:rsidR="00282135" w:rsidRPr="001D1563" w:rsidRDefault="00282135" w:rsidP="00282135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relevant method referenced by Australian Standard AS5013 and prescribed by the International Organization for Standardization; or </w:t>
      </w:r>
    </w:p>
    <w:p w:rsidR="00062C92" w:rsidRDefault="00282135" w:rsidP="00282135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  <w:t xml:space="preserve"> </w:t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equivalent method as determined by</w:t>
      </w:r>
      <w:r w:rsidR="00062C92">
        <w:rPr>
          <w:lang w:val="en-GB"/>
        </w:rPr>
        <w:t>:</w:t>
      </w:r>
      <w:r w:rsidRPr="001D1563">
        <w:rPr>
          <w:lang w:val="en-GB"/>
        </w:rPr>
        <w:t xml:space="preserve"> </w:t>
      </w:r>
      <w:r w:rsidR="00062C92">
        <w:rPr>
          <w:lang w:val="en-GB"/>
        </w:rPr>
        <w:br w:type="page"/>
      </w:r>
    </w:p>
    <w:p w:rsidR="00282135" w:rsidRPr="001D1563" w:rsidRDefault="00062C92" w:rsidP="00282135">
      <w:pPr>
        <w:pStyle w:val="FSCtSubsub"/>
        <w:rPr>
          <w:lang w:val="en-GB"/>
        </w:rPr>
      </w:pPr>
      <w:r>
        <w:rPr>
          <w:lang w:val="en-GB"/>
        </w:rPr>
        <w:lastRenderedPageBreak/>
        <w:tab/>
        <w:t>(A)</w:t>
      </w:r>
      <w:r>
        <w:rPr>
          <w:lang w:val="en-GB"/>
        </w:rPr>
        <w:tab/>
      </w:r>
      <w:r w:rsidR="00282135" w:rsidRPr="001D1563">
        <w:rPr>
          <w:lang w:val="en-GB"/>
        </w:rPr>
        <w:t xml:space="preserve">Australian New Zealand Standard *AS/NZS 4659; or </w:t>
      </w:r>
    </w:p>
    <w:p w:rsidR="00282135" w:rsidRPr="001D1563" w:rsidRDefault="00282135" w:rsidP="00282135">
      <w:pPr>
        <w:pStyle w:val="FSCtSubsub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 xml:space="preserve">ISO 16140:2003; and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packaged water, packaged ice or mineral water—the relevant method prescribed by Australian New Zealand Standard AS/NZS 4276. 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(6)</w:t>
      </w:r>
      <w:r w:rsidRPr="001D1563">
        <w:rPr>
          <w:lang w:val="en-GB"/>
        </w:rPr>
        <w:tab/>
        <w:t>A reference to a Standard in subsection (5) is a reference to that Standard as in force at the commencement of this provision.</w:t>
      </w:r>
    </w:p>
    <w:p w:rsidR="00282135" w:rsidRPr="001D1563" w:rsidRDefault="00282135" w:rsidP="00282135">
      <w:pPr>
        <w:pStyle w:val="FSCh5Section"/>
        <w:rPr>
          <w:lang w:val="en-GB"/>
        </w:rPr>
      </w:pPr>
      <w:bookmarkStart w:id="9" w:name="_Toc400032098"/>
      <w:r w:rsidRPr="001D1563">
        <w:rPr>
          <w:lang w:val="en-GB"/>
        </w:rPr>
        <w:t>1.6.1—4</w:t>
      </w:r>
      <w:r w:rsidRPr="001D1563">
        <w:rPr>
          <w:lang w:val="en-GB"/>
        </w:rPr>
        <w:tab/>
        <w:t xml:space="preserve">Food in which growth of </w:t>
      </w:r>
      <w:r w:rsidRPr="001D1563">
        <w:rPr>
          <w:i/>
          <w:iCs/>
          <w:lang w:val="en-GB"/>
        </w:rPr>
        <w:t xml:space="preserve">Listeria monocytogenes </w:t>
      </w:r>
      <w:r w:rsidRPr="001D1563">
        <w:rPr>
          <w:lang w:val="en-GB"/>
        </w:rPr>
        <w:t>will not occur</w:t>
      </w:r>
      <w:bookmarkEnd w:id="9"/>
      <w:r w:rsidRPr="001D1563">
        <w:rPr>
          <w:lang w:val="en-GB"/>
        </w:rPr>
        <w:t xml:space="preserve"> 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 xml:space="preserve">For the purposes of the Schedule, growth of </w:t>
      </w:r>
      <w:r w:rsidRPr="001D1563">
        <w:rPr>
          <w:i/>
          <w:lang w:val="en-GB"/>
        </w:rPr>
        <w:t xml:space="preserve">Listeria monocytogenes </w:t>
      </w:r>
      <w:r w:rsidRPr="001D1563">
        <w:rPr>
          <w:lang w:val="en-GB"/>
        </w:rPr>
        <w:t>will not occur in a *ready-to-eat food if</w:t>
      </w:r>
      <w:r w:rsidR="00062C92">
        <w:rPr>
          <w:lang w:val="en-GB"/>
        </w:rPr>
        <w:t>: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has a pH less than 4.4 regardless of water activity; or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has a water activity less than 0.92 regardless of pH; or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has a pH less than 5.0 in combination with a water activity of less than 0.94; or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has a refrigerated shelf life no greater than 5 days; or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is frozen (including foods consumed frozen and those intended to be thawed immediately before consumption); or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it</w:t>
      </w:r>
      <w:proofErr w:type="gramEnd"/>
      <w:r w:rsidRPr="001D1563">
        <w:rPr>
          <w:lang w:val="en-GB"/>
        </w:rPr>
        <w:t xml:space="preserve"> can be validated that the level of </w:t>
      </w:r>
      <w:r w:rsidRPr="001D1563">
        <w:rPr>
          <w:i/>
          <w:lang w:val="en-GB"/>
        </w:rPr>
        <w:t xml:space="preserve">Listeria monocytogenes </w:t>
      </w:r>
      <w:r w:rsidRPr="001D1563">
        <w:rPr>
          <w:lang w:val="en-GB"/>
        </w:rPr>
        <w:t xml:space="preserve">will not increase by greater than 0.5 log cfu/g over the food’s stated shelf life. 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 xml:space="preserve">For the purposes of the Schedule, a *ready-to-eat food that does not receive a *listericidal process during manufacture is taken to be a food in which growth of </w:t>
      </w:r>
      <w:r w:rsidRPr="001D1563">
        <w:rPr>
          <w:i/>
          <w:lang w:val="en-GB"/>
        </w:rPr>
        <w:t xml:space="preserve">Listeria monocytogenes </w:t>
      </w:r>
      <w:r w:rsidRPr="001D1563">
        <w:rPr>
          <w:lang w:val="en-GB"/>
        </w:rPr>
        <w:t xml:space="preserve">will not occur if the level of </w:t>
      </w:r>
      <w:r w:rsidRPr="001D1563">
        <w:rPr>
          <w:i/>
          <w:lang w:val="en-GB"/>
        </w:rPr>
        <w:t xml:space="preserve">Listeria monocytogenes </w:t>
      </w:r>
      <w:r w:rsidRPr="001D1563">
        <w:rPr>
          <w:lang w:val="en-GB"/>
        </w:rPr>
        <w:t xml:space="preserve">will not exceed 100 cfu/g within the food’s expected shelf life. </w:t>
      </w:r>
    </w:p>
    <w:p w:rsidR="00282135" w:rsidRPr="001D1563" w:rsidRDefault="00282135" w:rsidP="00282135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For the purposes of subclause (2), a *ready-to-eat food that does not receive a *listericidal process during manufacture is taken to include</w:t>
      </w:r>
      <w:r w:rsidR="00062C92">
        <w:rPr>
          <w:lang w:val="en-GB"/>
        </w:rPr>
        <w:t>:</w:t>
      </w:r>
      <w:r w:rsidRPr="001D1563">
        <w:rPr>
          <w:lang w:val="en-GB"/>
        </w:rPr>
        <w:t xml:space="preserve">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 xml:space="preserve">ready-to-eat processed finfish; and </w:t>
      </w:r>
    </w:p>
    <w:p w:rsidR="00282135" w:rsidRPr="001D1563" w:rsidRDefault="00282135" w:rsidP="00282135">
      <w:pPr>
        <w:pStyle w:val="FSCtPara"/>
        <w:rPr>
          <w:lang w:val="en-GB"/>
        </w:rPr>
      </w:pPr>
      <w:r w:rsidRPr="001D1563">
        <w:rPr>
          <w:iCs w:val="0"/>
          <w:lang w:val="en-GB"/>
        </w:rPr>
        <w:tab/>
        <w:t>(b)</w:t>
      </w:r>
      <w:r w:rsidRPr="001D1563">
        <w:rPr>
          <w:iCs w:val="0"/>
          <w:lang w:val="en-GB"/>
        </w:rPr>
        <w:tab/>
      </w:r>
      <w:proofErr w:type="gramStart"/>
      <w:r w:rsidRPr="001D1563">
        <w:rPr>
          <w:iCs w:val="0"/>
          <w:lang w:val="en-GB"/>
        </w:rPr>
        <w:t>fresh</w:t>
      </w:r>
      <w:proofErr w:type="gramEnd"/>
      <w:r w:rsidRPr="001D1563">
        <w:rPr>
          <w:iCs w:val="0"/>
          <w:lang w:val="en-GB"/>
        </w:rPr>
        <w:t xml:space="preserve"> cut and packaged horticultural produce</w:t>
      </w:r>
      <w:r w:rsidRPr="001D1563">
        <w:rPr>
          <w:lang w:val="en-GB"/>
        </w:rPr>
        <w:t>.</w:t>
      </w:r>
    </w:p>
    <w:p w:rsidR="00282135" w:rsidRPr="001D1563" w:rsidRDefault="00282135" w:rsidP="00282135">
      <w:pPr>
        <w:pStyle w:val="FSCtPara"/>
        <w:jc w:val="center"/>
        <w:rPr>
          <w:lang w:val="en-GB"/>
        </w:rPr>
      </w:pPr>
      <w:r w:rsidRPr="001D1563">
        <w:rPr>
          <w:lang w:val="en-GB"/>
        </w:rPr>
        <w:t>____________________</w:t>
      </w:r>
    </w:p>
    <w:p w:rsidR="00282135" w:rsidRPr="001D1563" w:rsidRDefault="00282135" w:rsidP="00282135">
      <w:pPr>
        <w:pStyle w:val="PageBreak"/>
      </w:pPr>
    </w:p>
    <w:sectPr w:rsidR="00282135" w:rsidRPr="001D1563" w:rsidSect="006F6BF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35" w:rsidRDefault="00282135">
      <w:r>
        <w:separator/>
      </w:r>
    </w:p>
  </w:endnote>
  <w:endnote w:type="continuationSeparator" w:id="0">
    <w:p w:rsidR="00282135" w:rsidRDefault="0028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6F6BF0" w:rsidRPr="00CF1834" w:rsidRDefault="006F6BF0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6F6BF0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282135">
      <w:rPr>
        <w:rFonts w:cs="Arial"/>
        <w:noProof/>
        <w:sz w:val="18"/>
        <w:szCs w:val="18"/>
      </w:rPr>
      <w:t xml:space="preserve">Standard 1.6.1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35" w:rsidRDefault="00282135">
      <w:r>
        <w:separator/>
      </w:r>
    </w:p>
  </w:footnote>
  <w:footnote w:type="continuationSeparator" w:id="0">
    <w:p w:rsidR="00282135" w:rsidRDefault="00282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282135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2C92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2135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6BF0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16DC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62C9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062C9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062C9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062C9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062C9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062C9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062C9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062C9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062C9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062C9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062C9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062C9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062C9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062C9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062C9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062C9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C9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C9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062C9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062C9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062C9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62C92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062C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C9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062C9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062C9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062C92"/>
    <w:pPr>
      <w:ind w:right="1417"/>
    </w:pPr>
  </w:style>
  <w:style w:type="character" w:styleId="FootnoteReference">
    <w:name w:val="footnote reference"/>
    <w:basedOn w:val="DefaultParagraphFont"/>
    <w:semiHidden/>
    <w:rsid w:val="00062C9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062C9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62C9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062C9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062C9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062C9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062C9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062C9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062C92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062C9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062C92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062C92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062C9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062C9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062C9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C9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062C9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062C9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062C9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062C9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062C9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062C92"/>
  </w:style>
  <w:style w:type="paragraph" w:customStyle="1" w:styleId="FSCsbMainSection">
    <w:name w:val="FSC_sb_Main_Section"/>
    <w:basedOn w:val="FSCsbFirstSection"/>
    <w:qFormat/>
    <w:rsid w:val="00062C9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062C92"/>
  </w:style>
  <w:style w:type="paragraph" w:customStyle="1" w:styleId="FSCtDefn">
    <w:name w:val="FSC_t_Defn"/>
    <w:aliases w:val="t1_Defn"/>
    <w:basedOn w:val="FSCtMain"/>
    <w:rsid w:val="00062C9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062C9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062C9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062C92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062C9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062C9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062C9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062C9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062C9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062C9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062C92"/>
    <w:rPr>
      <w:sz w:val="16"/>
    </w:rPr>
  </w:style>
  <w:style w:type="paragraph" w:customStyle="1" w:styleId="FSCoTitleofInstrument">
    <w:name w:val="FSC_o_Title_of_Instrument"/>
    <w:basedOn w:val="Normal"/>
    <w:rsid w:val="00062C9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062C92"/>
  </w:style>
  <w:style w:type="paragraph" w:styleId="BalloonText">
    <w:name w:val="Balloon Text"/>
    <w:basedOn w:val="Normal"/>
    <w:link w:val="BalloonTextChar"/>
    <w:uiPriority w:val="99"/>
    <w:semiHidden/>
    <w:unhideWhenUsed/>
    <w:rsid w:val="00062C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C92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062C92"/>
    <w:pPr>
      <w:ind w:left="0" w:firstLine="0"/>
      <w:jc w:val="center"/>
    </w:pPr>
  </w:style>
  <w:style w:type="paragraph" w:customStyle="1" w:styleId="FSCbaseheading">
    <w:name w:val="FSC_base_heading"/>
    <w:rsid w:val="00062C9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062C9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062C9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062C92"/>
    <w:pPr>
      <w:jc w:val="center"/>
    </w:pPr>
    <w:rPr>
      <w:iCs w:val="0"/>
    </w:rPr>
  </w:style>
  <w:style w:type="paragraph" w:customStyle="1" w:styleId="FSCfooter">
    <w:name w:val="FSC_footer"/>
    <w:basedOn w:val="Normal"/>
    <w:rsid w:val="00062C9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062C9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062C9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062C9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062C9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062C9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062C9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062C9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062C9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062C9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062C9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062C9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062C9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062C9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062C9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062C92"/>
    <w:pPr>
      <w:ind w:left="1701"/>
    </w:pPr>
  </w:style>
  <w:style w:type="paragraph" w:customStyle="1" w:styleId="FSCbasetbl">
    <w:name w:val="FSC_base_tbl"/>
    <w:basedOn w:val="FSCbasepara"/>
    <w:qFormat/>
    <w:rsid w:val="00062C9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062C9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062C9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062C9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2C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C9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C92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062C9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062C9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062C9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062C9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062C9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062C9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062C9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062C9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062C9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062C9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062C9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062C9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6F6BF0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6F6BF0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6F6BF0"/>
    <w:rPr>
      <w:b w:val="0"/>
    </w:rPr>
  </w:style>
  <w:style w:type="character" w:customStyle="1" w:styleId="ClauseChar">
    <w:name w:val="Clause Char"/>
    <w:basedOn w:val="DefaultParagraphFont"/>
    <w:link w:val="Clause"/>
    <w:rsid w:val="006F6BF0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F6BF0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6F6BF0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62C9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062C9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062C9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062C9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062C9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062C9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062C9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062C9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062C9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062C9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062C9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062C9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062C9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062C9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062C9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062C9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C9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C9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062C9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062C9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062C9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62C92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062C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C9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062C9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062C9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062C92"/>
    <w:pPr>
      <w:ind w:right="1417"/>
    </w:pPr>
  </w:style>
  <w:style w:type="character" w:styleId="FootnoteReference">
    <w:name w:val="footnote reference"/>
    <w:basedOn w:val="DefaultParagraphFont"/>
    <w:semiHidden/>
    <w:rsid w:val="00062C9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062C9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62C9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062C9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062C9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062C9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062C9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062C9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062C92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062C9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062C92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062C92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062C9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062C9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062C9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C9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062C9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062C9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062C9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062C9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062C9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062C92"/>
  </w:style>
  <w:style w:type="paragraph" w:customStyle="1" w:styleId="FSCsbMainSection">
    <w:name w:val="FSC_sb_Main_Section"/>
    <w:basedOn w:val="FSCsbFirstSection"/>
    <w:qFormat/>
    <w:rsid w:val="00062C9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062C92"/>
  </w:style>
  <w:style w:type="paragraph" w:customStyle="1" w:styleId="FSCtDefn">
    <w:name w:val="FSC_t_Defn"/>
    <w:aliases w:val="t1_Defn"/>
    <w:basedOn w:val="FSCtMain"/>
    <w:rsid w:val="00062C9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062C9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062C9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062C92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062C9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062C9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062C9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062C9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062C9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062C9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062C92"/>
    <w:rPr>
      <w:sz w:val="16"/>
    </w:rPr>
  </w:style>
  <w:style w:type="paragraph" w:customStyle="1" w:styleId="FSCoTitleofInstrument">
    <w:name w:val="FSC_o_Title_of_Instrument"/>
    <w:basedOn w:val="Normal"/>
    <w:rsid w:val="00062C9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062C92"/>
  </w:style>
  <w:style w:type="paragraph" w:styleId="BalloonText">
    <w:name w:val="Balloon Text"/>
    <w:basedOn w:val="Normal"/>
    <w:link w:val="BalloonTextChar"/>
    <w:uiPriority w:val="99"/>
    <w:semiHidden/>
    <w:unhideWhenUsed/>
    <w:rsid w:val="00062C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C92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062C92"/>
    <w:pPr>
      <w:ind w:left="0" w:firstLine="0"/>
      <w:jc w:val="center"/>
    </w:pPr>
  </w:style>
  <w:style w:type="paragraph" w:customStyle="1" w:styleId="FSCbaseheading">
    <w:name w:val="FSC_base_heading"/>
    <w:rsid w:val="00062C9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062C9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062C9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062C92"/>
    <w:pPr>
      <w:jc w:val="center"/>
    </w:pPr>
    <w:rPr>
      <w:iCs w:val="0"/>
    </w:rPr>
  </w:style>
  <w:style w:type="paragraph" w:customStyle="1" w:styleId="FSCfooter">
    <w:name w:val="FSC_footer"/>
    <w:basedOn w:val="Normal"/>
    <w:rsid w:val="00062C9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062C9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062C9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062C9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062C9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062C9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062C9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062C9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062C9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062C9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062C9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062C9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062C9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062C9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062C9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062C92"/>
    <w:pPr>
      <w:ind w:left="1701"/>
    </w:pPr>
  </w:style>
  <w:style w:type="paragraph" w:customStyle="1" w:styleId="FSCbasetbl">
    <w:name w:val="FSC_base_tbl"/>
    <w:basedOn w:val="FSCbasepara"/>
    <w:qFormat/>
    <w:rsid w:val="00062C9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062C9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062C9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062C9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2C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C9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C92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062C9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062C9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062C9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062C9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062C9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062C9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062C9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062C9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062C9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062C9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062C9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062C9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6F6BF0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6F6BF0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6F6BF0"/>
    <w:rPr>
      <w:b w:val="0"/>
    </w:rPr>
  </w:style>
  <w:style w:type="character" w:customStyle="1" w:styleId="ClauseChar">
    <w:name w:val="Clause Char"/>
    <w:basedOn w:val="DefaultParagraphFont"/>
    <w:link w:val="Clause"/>
    <w:rsid w:val="006F6BF0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F6BF0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6F6BF0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a74c9d45-d6f1-4005-a8af-ae38d264781f"/>
    <ds:schemaRef ds:uri="http://schemas.microsoft.com/office/2006/documentManagement/types"/>
    <ds:schemaRef ds:uri="0774cfd4-6c95-41fc-ad34-7efb322355f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1B44559-90BB-4C58-B2F0-48254271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910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2015-03-12T02:06:00Z</cp:lastPrinted>
  <dcterms:created xsi:type="dcterms:W3CDTF">2015-03-08T01:41:00Z</dcterms:created>
  <dcterms:modified xsi:type="dcterms:W3CDTF">2015-03-25T04:19:00Z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